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7" w:type="dxa"/>
        <w:shd w:val="clear" w:color="auto" w:fill="FFFFFF"/>
        <w:tblCellMar>
          <w:top w:w="30" w:type="dxa"/>
          <w:left w:w="30" w:type="dxa"/>
          <w:bottom w:w="30" w:type="dxa"/>
          <w:right w:w="30" w:type="dxa"/>
        </w:tblCellMar>
        <w:tblLook w:val="04A0"/>
      </w:tblPr>
      <w:tblGrid>
        <w:gridCol w:w="8226"/>
      </w:tblGrid>
      <w:tr w:rsidR="00982A5F" w:rsidRPr="00982A5F" w:rsidTr="00982A5F">
        <w:trPr>
          <w:tblCellSpacing w:w="7" w:type="dxa"/>
        </w:trPr>
        <w:tc>
          <w:tcPr>
            <w:tcW w:w="0" w:type="auto"/>
            <w:shd w:val="clear" w:color="auto" w:fill="FFFFFF"/>
            <w:vAlign w:val="center"/>
            <w:hideMark/>
          </w:tcPr>
          <w:p w:rsidR="00982A5F" w:rsidRPr="00982A5F" w:rsidRDefault="00982A5F" w:rsidP="00982A5F">
            <w:pPr>
              <w:widowControl/>
              <w:spacing w:before="150" w:after="150"/>
              <w:jc w:val="left"/>
              <w:rPr>
                <w:rFonts w:ascii="Simsun" w:eastAsia="宋体" w:hAnsi="Simsun" w:cs="宋体" w:hint="eastAsia"/>
                <w:color w:val="364F56"/>
                <w:kern w:val="0"/>
                <w:sz w:val="18"/>
                <w:szCs w:val="18"/>
              </w:rPr>
            </w:pPr>
          </w:p>
        </w:tc>
      </w:tr>
    </w:tbl>
    <w:p w:rsidR="009D40B0" w:rsidRPr="009D40B0" w:rsidRDefault="009D40B0" w:rsidP="009D40B0">
      <w:pPr>
        <w:widowControl/>
        <w:shd w:val="clear" w:color="auto" w:fill="FFFFFF"/>
        <w:jc w:val="center"/>
        <w:rPr>
          <w:rFonts w:ascii="宋体" w:eastAsia="宋体" w:hAnsi="宋体" w:cs="宋体"/>
          <w:color w:val="333333"/>
          <w:kern w:val="0"/>
          <w:sz w:val="24"/>
          <w:szCs w:val="24"/>
        </w:rPr>
      </w:pPr>
      <w:r w:rsidRPr="009D40B0">
        <w:rPr>
          <w:rFonts w:ascii="宋体" w:eastAsia="宋体" w:hAnsi="宋体" w:cs="宋体" w:hint="eastAsia"/>
          <w:b/>
          <w:bCs/>
          <w:color w:val="333333"/>
          <w:kern w:val="0"/>
          <w:sz w:val="36"/>
          <w:szCs w:val="36"/>
        </w:rPr>
        <w:t>深化服务贸易创新发展试点开放便利举措</w:t>
      </w:r>
    </w:p>
    <w:p w:rsidR="009D40B0" w:rsidRPr="009D40B0" w:rsidRDefault="009D40B0" w:rsidP="009D40B0">
      <w:pPr>
        <w:widowControl/>
        <w:shd w:val="clear" w:color="auto" w:fill="FFFFFF"/>
        <w:jc w:val="center"/>
        <w:rPr>
          <w:rFonts w:ascii="宋体" w:eastAsia="宋体" w:hAnsi="宋体" w:cs="宋体" w:hint="eastAsia"/>
          <w:color w:val="333333"/>
          <w:kern w:val="0"/>
          <w:sz w:val="24"/>
          <w:szCs w:val="24"/>
        </w:rPr>
      </w:pPr>
    </w:p>
    <w:tbl>
      <w:tblPr>
        <w:tblW w:w="9069" w:type="dxa"/>
        <w:jc w:val="center"/>
        <w:tblCellMar>
          <w:left w:w="0" w:type="dxa"/>
          <w:right w:w="0" w:type="dxa"/>
        </w:tblCellMar>
        <w:tblLook w:val="04A0"/>
      </w:tblPr>
      <w:tblGrid>
        <w:gridCol w:w="1041"/>
        <w:gridCol w:w="1185"/>
        <w:gridCol w:w="1905"/>
        <w:gridCol w:w="4938"/>
      </w:tblGrid>
      <w:tr w:rsidR="009D40B0" w:rsidRPr="009D40B0" w:rsidTr="009D40B0">
        <w:trPr>
          <w:jc w:val="center"/>
        </w:trPr>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b/>
                <w:bCs/>
                <w:kern w:val="0"/>
                <w:sz w:val="20"/>
                <w:szCs w:val="20"/>
              </w:rPr>
              <w:t>领域</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b/>
                <w:bCs/>
                <w:kern w:val="0"/>
                <w:sz w:val="20"/>
                <w:szCs w:val="20"/>
              </w:rPr>
              <w:t>涉及行业</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b/>
                <w:bCs/>
                <w:kern w:val="0"/>
                <w:sz w:val="20"/>
                <w:szCs w:val="20"/>
              </w:rPr>
              <w:t>开放</w:t>
            </w:r>
            <w:proofErr w:type="gramStart"/>
            <w:r w:rsidRPr="009D40B0">
              <w:rPr>
                <w:rFonts w:ascii="宋体" w:eastAsia="宋体" w:hAnsi="宋体" w:cs="宋体" w:hint="eastAsia"/>
                <w:b/>
                <w:bCs/>
                <w:kern w:val="0"/>
                <w:sz w:val="20"/>
                <w:szCs w:val="20"/>
              </w:rPr>
              <w:t>便利举措</w:t>
            </w:r>
            <w:proofErr w:type="gramEnd"/>
          </w:p>
        </w:tc>
        <w:tc>
          <w:tcPr>
            <w:tcW w:w="4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b/>
                <w:bCs/>
                <w:kern w:val="0"/>
                <w:sz w:val="20"/>
                <w:szCs w:val="20"/>
              </w:rPr>
              <w:t>现行相关规定</w:t>
            </w:r>
          </w:p>
        </w:tc>
      </w:tr>
      <w:tr w:rsidR="009D40B0" w:rsidRPr="009D40B0" w:rsidTr="009D40B0">
        <w:trPr>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kern w:val="0"/>
                <w:sz w:val="20"/>
                <w:szCs w:val="20"/>
              </w:rPr>
              <w:t>金融</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left"/>
              <w:rPr>
                <w:rFonts w:ascii="宋体" w:eastAsia="宋体" w:hAnsi="宋体" w:cs="宋体"/>
                <w:kern w:val="0"/>
                <w:sz w:val="24"/>
                <w:szCs w:val="24"/>
              </w:rPr>
            </w:pPr>
            <w:r w:rsidRPr="009D40B0">
              <w:rPr>
                <w:rFonts w:ascii="宋体" w:eastAsia="宋体" w:hAnsi="宋体" w:cs="宋体" w:hint="eastAsia"/>
                <w:kern w:val="0"/>
                <w:sz w:val="20"/>
                <w:szCs w:val="20"/>
              </w:rPr>
              <w:t>银行业</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允许外商独资银行、中外合资银行、外国银行分行在提交开业申请时同时申请人民币业务。</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中华人民共和国外资银行管理条例》第三十四条规定，外资银行营业性机构经营本条例第二十九条或者第三十一条规定业务范围内的人民币业务的，应当具备下列条件，并经国务院银行业监督管理机构批准。（一）提出申请前在中华人民共和国境内开业</w:t>
            </w:r>
            <w:r w:rsidRPr="009D40B0">
              <w:rPr>
                <w:rFonts w:ascii="Calibri" w:eastAsia="宋体" w:hAnsi="Calibri" w:cs="宋体" w:hint="eastAsia"/>
                <w:kern w:val="0"/>
                <w:sz w:val="20"/>
                <w:szCs w:val="20"/>
              </w:rPr>
              <w:t>1</w:t>
            </w:r>
            <w:r w:rsidRPr="009D40B0">
              <w:rPr>
                <w:rFonts w:ascii="宋体" w:eastAsia="宋体" w:hAnsi="宋体" w:cs="宋体" w:hint="eastAsia"/>
                <w:kern w:val="0"/>
                <w:sz w:val="20"/>
                <w:szCs w:val="20"/>
              </w:rPr>
              <w:t>年以上；（二）国务院银行业监督管理机构规定的其他审慎性条件。</w:t>
            </w:r>
          </w:p>
        </w:tc>
      </w:tr>
      <w:tr w:rsidR="009D40B0" w:rsidRPr="009D40B0" w:rsidTr="009D40B0">
        <w:trPr>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kern w:val="0"/>
                <w:sz w:val="20"/>
                <w:szCs w:val="20"/>
              </w:rPr>
              <w:t>电信</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left"/>
              <w:rPr>
                <w:rFonts w:ascii="宋体" w:eastAsia="宋体" w:hAnsi="宋体" w:cs="宋体"/>
                <w:kern w:val="0"/>
                <w:sz w:val="24"/>
                <w:szCs w:val="24"/>
              </w:rPr>
            </w:pPr>
            <w:r w:rsidRPr="009D40B0">
              <w:rPr>
                <w:rFonts w:ascii="宋体" w:eastAsia="宋体" w:hAnsi="宋体" w:cs="宋体" w:hint="eastAsia"/>
                <w:kern w:val="0"/>
                <w:sz w:val="20"/>
                <w:szCs w:val="20"/>
              </w:rPr>
              <w:t>离岸呼叫中心业务</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对于全部面向国外市场的服务外包企业经营呼叫中心业务（</w:t>
            </w:r>
            <w:proofErr w:type="gramStart"/>
            <w:r w:rsidRPr="009D40B0">
              <w:rPr>
                <w:rFonts w:ascii="宋体" w:eastAsia="宋体" w:hAnsi="宋体" w:cs="宋体" w:hint="eastAsia"/>
                <w:kern w:val="0"/>
                <w:sz w:val="20"/>
                <w:szCs w:val="20"/>
              </w:rPr>
              <w:t>即最终</w:t>
            </w:r>
            <w:proofErr w:type="gramEnd"/>
            <w:r w:rsidRPr="009D40B0">
              <w:rPr>
                <w:rFonts w:ascii="宋体" w:eastAsia="宋体" w:hAnsi="宋体" w:cs="宋体" w:hint="eastAsia"/>
                <w:kern w:val="0"/>
                <w:sz w:val="20"/>
                <w:szCs w:val="20"/>
              </w:rPr>
              <w:t>服务对象和委托客户均在境外），不设外资股权比例限制。</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外商投资电信企业管理规定》第四条规定，外商投资电信企业可以经营基础电信业务、增值电信业务，具体业务分类依照电信条例的规定执行。第六条规定，经营基础电信业务（无线寻呼业务除外）的外商投资电信企业的外方投资者在企业中的出资比例，最终不得超过</w:t>
            </w:r>
            <w:r w:rsidRPr="009D40B0">
              <w:rPr>
                <w:rFonts w:ascii="Calibri" w:eastAsia="宋体" w:hAnsi="Calibri" w:cs="宋体" w:hint="eastAsia"/>
                <w:kern w:val="0"/>
                <w:sz w:val="20"/>
                <w:szCs w:val="20"/>
              </w:rPr>
              <w:t>49%</w:t>
            </w:r>
            <w:r w:rsidRPr="009D40B0">
              <w:rPr>
                <w:rFonts w:ascii="宋体" w:eastAsia="宋体" w:hAnsi="宋体" w:cs="宋体" w:hint="eastAsia"/>
                <w:kern w:val="0"/>
                <w:sz w:val="20"/>
                <w:szCs w:val="20"/>
              </w:rPr>
              <w:t>。经营增值电信业务（包括基础电信业务中的无线寻呼业务）的外商投资电信企业的外方投资者在企业中的出资比例，最终不得超过</w:t>
            </w:r>
            <w:r w:rsidRPr="009D40B0">
              <w:rPr>
                <w:rFonts w:ascii="Calibri" w:eastAsia="宋体" w:hAnsi="Calibri" w:cs="宋体" w:hint="eastAsia"/>
                <w:kern w:val="0"/>
                <w:sz w:val="20"/>
                <w:szCs w:val="20"/>
              </w:rPr>
              <w:t>50%</w:t>
            </w:r>
            <w:r w:rsidRPr="009D40B0">
              <w:rPr>
                <w:rFonts w:ascii="宋体" w:eastAsia="宋体" w:hAnsi="宋体" w:cs="宋体" w:hint="eastAsia"/>
                <w:kern w:val="0"/>
                <w:sz w:val="20"/>
                <w:szCs w:val="20"/>
              </w:rPr>
              <w:t>。第十七条规定，外商投资电信企业经营跨境电信业务，必须经国务院工业和信息化主管部门批准，并通过国务院工业和信息化主管部门批准设立的国际电信出入口局进行。</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 xml:space="preserve">　　《国务院办公厅关于鼓励服务外包产业加快发展的复函》（国办函〔</w:t>
            </w:r>
            <w:r w:rsidRPr="009D40B0">
              <w:rPr>
                <w:rFonts w:ascii="Calibri" w:eastAsia="宋体" w:hAnsi="Calibri" w:cs="宋体"/>
                <w:kern w:val="0"/>
                <w:sz w:val="20"/>
                <w:szCs w:val="20"/>
              </w:rPr>
              <w:t>2010</w:t>
            </w:r>
            <w:r w:rsidRPr="009D40B0">
              <w:rPr>
                <w:rFonts w:ascii="宋体" w:eastAsia="宋体" w:hAnsi="宋体" w:cs="宋体"/>
                <w:kern w:val="0"/>
                <w:sz w:val="20"/>
                <w:szCs w:val="20"/>
              </w:rPr>
              <w:t>〕</w:t>
            </w:r>
            <w:r w:rsidRPr="009D40B0">
              <w:rPr>
                <w:rFonts w:ascii="Calibri" w:eastAsia="宋体" w:hAnsi="Calibri" w:cs="宋体"/>
                <w:kern w:val="0"/>
                <w:sz w:val="20"/>
                <w:szCs w:val="20"/>
              </w:rPr>
              <w:t>69</w:t>
            </w:r>
            <w:r w:rsidRPr="009D40B0">
              <w:rPr>
                <w:rFonts w:ascii="宋体" w:eastAsia="宋体" w:hAnsi="宋体" w:cs="宋体"/>
                <w:kern w:val="0"/>
                <w:sz w:val="20"/>
                <w:szCs w:val="20"/>
              </w:rPr>
              <w:t>号）规定，同意完善支持中国服务外包示范城市发展服务外包产业的政策措施，对于全部面向国外市场的服务外包企业经营呼叫中心业务（</w:t>
            </w:r>
            <w:proofErr w:type="gramStart"/>
            <w:r w:rsidRPr="009D40B0">
              <w:rPr>
                <w:rFonts w:ascii="宋体" w:eastAsia="宋体" w:hAnsi="宋体" w:cs="宋体"/>
                <w:kern w:val="0"/>
                <w:sz w:val="20"/>
                <w:szCs w:val="20"/>
              </w:rPr>
              <w:t>即最终</w:t>
            </w:r>
            <w:proofErr w:type="gramEnd"/>
            <w:r w:rsidRPr="009D40B0">
              <w:rPr>
                <w:rFonts w:ascii="宋体" w:eastAsia="宋体" w:hAnsi="宋体" w:cs="宋体"/>
                <w:kern w:val="0"/>
                <w:sz w:val="20"/>
                <w:szCs w:val="20"/>
              </w:rPr>
              <w:t>服务对象和委托客户均在境外），在示范城市实施不设外资股权比例限制的试点。</w:t>
            </w:r>
          </w:p>
        </w:tc>
      </w:tr>
      <w:tr w:rsidR="009D40B0" w:rsidRPr="009D40B0" w:rsidTr="009D40B0">
        <w:trPr>
          <w:jc w:val="center"/>
        </w:trPr>
        <w:tc>
          <w:tcPr>
            <w:tcW w:w="10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kern w:val="0"/>
                <w:sz w:val="20"/>
                <w:szCs w:val="20"/>
              </w:rPr>
              <w:t>旅行</w:t>
            </w:r>
            <w:r w:rsidRPr="009D40B0">
              <w:rPr>
                <w:rFonts w:ascii="宋体" w:eastAsia="宋体" w:hAnsi="宋体" w:cs="宋体" w:hint="eastAsia"/>
                <w:kern w:val="0"/>
                <w:sz w:val="20"/>
                <w:szCs w:val="20"/>
              </w:rPr>
              <w:b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left"/>
              <w:rPr>
                <w:rFonts w:ascii="宋体" w:eastAsia="宋体" w:hAnsi="宋体" w:cs="宋体"/>
                <w:kern w:val="0"/>
                <w:sz w:val="24"/>
                <w:szCs w:val="24"/>
              </w:rPr>
            </w:pPr>
            <w:r w:rsidRPr="009D40B0">
              <w:rPr>
                <w:rFonts w:ascii="宋体" w:eastAsia="宋体" w:hAnsi="宋体" w:cs="宋体" w:hint="eastAsia"/>
                <w:kern w:val="0"/>
                <w:sz w:val="20"/>
                <w:szCs w:val="20"/>
              </w:rPr>
              <w:t>签证便利</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1.探索建立来华就医签证制度。</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 xml:space="preserve">　　2.推动广东全省实施</w:t>
            </w:r>
            <w:r w:rsidRPr="009D40B0">
              <w:rPr>
                <w:rFonts w:ascii="Calibri" w:eastAsia="宋体" w:hAnsi="Calibri" w:cs="宋体"/>
                <w:kern w:val="0"/>
                <w:sz w:val="20"/>
                <w:szCs w:val="20"/>
              </w:rPr>
              <w:t>144</w:t>
            </w:r>
            <w:r w:rsidRPr="009D40B0">
              <w:rPr>
                <w:rFonts w:ascii="宋体" w:eastAsia="宋体" w:hAnsi="宋体" w:cs="宋体"/>
                <w:kern w:val="0"/>
                <w:sz w:val="20"/>
                <w:szCs w:val="20"/>
              </w:rPr>
              <w:t>小时过境免签政策。</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中华人民共和国出境入境管理法》第十五条规定，外国人入境，应当向驻外签证机关申请办理签证。第十六条规定，对因工作、学习、探亲、旅游、商务活动、人才引进等非外交、公务事由入境的外国人，签发相应类别的普通签证。普通签证的类别和签发办法由国务院规定。第二十二条规定，</w:t>
            </w:r>
            <w:proofErr w:type="gramStart"/>
            <w:r w:rsidRPr="009D40B0">
              <w:rPr>
                <w:rFonts w:ascii="宋体" w:eastAsia="宋体" w:hAnsi="宋体" w:cs="宋体" w:hint="eastAsia"/>
                <w:kern w:val="0"/>
                <w:sz w:val="20"/>
                <w:szCs w:val="20"/>
              </w:rPr>
              <w:t>持联程</w:t>
            </w:r>
            <w:proofErr w:type="gramEnd"/>
            <w:r w:rsidRPr="009D40B0">
              <w:rPr>
                <w:rFonts w:ascii="宋体" w:eastAsia="宋体" w:hAnsi="宋体" w:cs="宋体" w:hint="eastAsia"/>
                <w:kern w:val="0"/>
                <w:sz w:val="20"/>
                <w:szCs w:val="20"/>
              </w:rPr>
              <w:t>客票搭乘国际航行的航空器、船舶、列车从中国过境前往第三国或者地区，在中国境内停留不超过二十四小时且不离开口岸，或者在国务院批准的特定区域内停留不超过规定时限的，可以免办签证。</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 xml:space="preserve">　　《中华人民共和国外国人入境出境管理条例》对签证的类别和签发、停留居留管理、调查和遣返等作了具体规定。</w:t>
            </w:r>
          </w:p>
        </w:tc>
      </w:tr>
      <w:tr w:rsidR="009D40B0" w:rsidRPr="009D40B0" w:rsidTr="009D40B0">
        <w:trPr>
          <w:jc w:val="center"/>
        </w:trPr>
        <w:tc>
          <w:tcPr>
            <w:tcW w:w="0" w:type="auto"/>
            <w:vMerge/>
            <w:tcBorders>
              <w:top w:val="nil"/>
              <w:left w:val="single" w:sz="8" w:space="0" w:color="auto"/>
              <w:bottom w:val="single" w:sz="8" w:space="0" w:color="auto"/>
              <w:right w:val="single" w:sz="8" w:space="0" w:color="auto"/>
            </w:tcBorders>
            <w:vAlign w:val="center"/>
            <w:hideMark/>
          </w:tcPr>
          <w:p w:rsidR="009D40B0" w:rsidRPr="009D40B0" w:rsidRDefault="009D40B0" w:rsidP="009D40B0">
            <w:pPr>
              <w:widowControl/>
              <w:jc w:val="left"/>
              <w:rPr>
                <w:rFonts w:ascii="宋体" w:eastAsia="宋体" w:hAnsi="宋体" w:cs="宋体"/>
                <w:kern w:val="0"/>
                <w:sz w:val="24"/>
                <w:szCs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left"/>
              <w:rPr>
                <w:rFonts w:ascii="宋体" w:eastAsia="宋体" w:hAnsi="宋体" w:cs="宋体"/>
                <w:kern w:val="0"/>
                <w:sz w:val="24"/>
                <w:szCs w:val="24"/>
              </w:rPr>
            </w:pPr>
            <w:r w:rsidRPr="009D40B0">
              <w:rPr>
                <w:rFonts w:ascii="宋体" w:eastAsia="宋体" w:hAnsi="宋体" w:cs="宋体" w:hint="eastAsia"/>
                <w:kern w:val="0"/>
                <w:sz w:val="20"/>
                <w:szCs w:val="20"/>
              </w:rPr>
              <w:t>跨境</w:t>
            </w:r>
            <w:proofErr w:type="gramStart"/>
            <w:r w:rsidRPr="009D40B0">
              <w:rPr>
                <w:rFonts w:ascii="宋体" w:eastAsia="宋体" w:hAnsi="宋体" w:cs="宋体" w:hint="eastAsia"/>
                <w:kern w:val="0"/>
                <w:sz w:val="20"/>
                <w:szCs w:val="20"/>
              </w:rPr>
              <w:t>自驾游</w:t>
            </w:r>
            <w:proofErr w:type="gramEnd"/>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完善跨境</w:t>
            </w:r>
            <w:proofErr w:type="gramStart"/>
            <w:r w:rsidRPr="009D40B0">
              <w:rPr>
                <w:rFonts w:ascii="宋体" w:eastAsia="宋体" w:hAnsi="宋体" w:cs="宋体" w:hint="eastAsia"/>
                <w:kern w:val="0"/>
                <w:sz w:val="20"/>
                <w:szCs w:val="20"/>
              </w:rPr>
              <w:t>自驾游监管</w:t>
            </w:r>
            <w:proofErr w:type="gramEnd"/>
            <w:r w:rsidRPr="009D40B0">
              <w:rPr>
                <w:rFonts w:ascii="宋体" w:eastAsia="宋体" w:hAnsi="宋体" w:cs="宋体" w:hint="eastAsia"/>
                <w:kern w:val="0"/>
                <w:sz w:val="20"/>
                <w:szCs w:val="20"/>
              </w:rPr>
              <w:t>举措，允许境外旅行社与国内企业合作，拓展自</w:t>
            </w:r>
            <w:proofErr w:type="gramStart"/>
            <w:r w:rsidRPr="009D40B0">
              <w:rPr>
                <w:rFonts w:ascii="宋体" w:eastAsia="宋体" w:hAnsi="宋体" w:cs="宋体" w:hint="eastAsia"/>
                <w:kern w:val="0"/>
                <w:sz w:val="20"/>
                <w:szCs w:val="20"/>
              </w:rPr>
              <w:lastRenderedPageBreak/>
              <w:t>驾游旅游</w:t>
            </w:r>
            <w:proofErr w:type="gramEnd"/>
            <w:r w:rsidRPr="009D40B0">
              <w:rPr>
                <w:rFonts w:ascii="宋体" w:eastAsia="宋体" w:hAnsi="宋体" w:cs="宋体" w:hint="eastAsia"/>
                <w:kern w:val="0"/>
                <w:sz w:val="20"/>
                <w:szCs w:val="20"/>
              </w:rPr>
              <w:t>产品；完善自驾游艇、车辆等交通工具出入境手续，包括担保制度，降低入境游成本。</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lastRenderedPageBreak/>
              <w:t xml:space="preserve">　　《中华人民共和国海关事务担保条例》第五条规定，当事人申请办理货物和运输工具过境的，按照海关规定提供担保。</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 xml:space="preserve">　　《中华人民共和国海关对海南省进出境游艇及其所</w:t>
            </w:r>
            <w:r w:rsidRPr="009D40B0">
              <w:rPr>
                <w:rFonts w:ascii="宋体" w:eastAsia="宋体" w:hAnsi="宋体" w:cs="宋体"/>
                <w:kern w:val="0"/>
                <w:sz w:val="20"/>
                <w:szCs w:val="20"/>
              </w:rPr>
              <w:lastRenderedPageBreak/>
              <w:t>载物品监管暂行办法》（海关总署</w:t>
            </w:r>
            <w:r w:rsidRPr="009D40B0">
              <w:rPr>
                <w:rFonts w:ascii="Calibri" w:eastAsia="宋体" w:hAnsi="Calibri" w:cs="宋体"/>
                <w:kern w:val="0"/>
                <w:sz w:val="20"/>
                <w:szCs w:val="20"/>
              </w:rPr>
              <w:t>2011</w:t>
            </w:r>
            <w:r w:rsidRPr="009D40B0">
              <w:rPr>
                <w:rFonts w:ascii="宋体" w:eastAsia="宋体" w:hAnsi="宋体" w:cs="宋体"/>
                <w:kern w:val="0"/>
                <w:sz w:val="20"/>
                <w:szCs w:val="20"/>
              </w:rPr>
              <w:t>年第十五号公告）第九条规定，经核准进境的境外游艇，游艇所有人或者其委托的游艇服务企业应当依法向进境地海关缴纳相当于游艇应纳税款的保证金或者海关依法认可的其他担保。经海关总署核准，也可以由其委托的游艇服务企业为其提供总担保。</w:t>
            </w:r>
          </w:p>
        </w:tc>
      </w:tr>
      <w:tr w:rsidR="009D40B0" w:rsidRPr="009D40B0" w:rsidTr="009D40B0">
        <w:trPr>
          <w:jc w:val="center"/>
        </w:trPr>
        <w:tc>
          <w:tcPr>
            <w:tcW w:w="10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center"/>
              <w:rPr>
                <w:rFonts w:ascii="宋体" w:eastAsia="宋体" w:hAnsi="宋体" w:cs="宋体"/>
                <w:kern w:val="0"/>
                <w:sz w:val="24"/>
                <w:szCs w:val="24"/>
              </w:rPr>
            </w:pPr>
            <w:r w:rsidRPr="009D40B0">
              <w:rPr>
                <w:rFonts w:ascii="宋体" w:eastAsia="宋体" w:hAnsi="宋体" w:cs="宋体" w:hint="eastAsia"/>
                <w:kern w:val="0"/>
                <w:sz w:val="20"/>
                <w:szCs w:val="20"/>
              </w:rPr>
              <w:lastRenderedPageBreak/>
              <w:t>专业</w:t>
            </w:r>
            <w:r w:rsidRPr="009D40B0">
              <w:rPr>
                <w:rFonts w:ascii="宋体" w:eastAsia="宋体" w:hAnsi="宋体" w:cs="宋体" w:hint="eastAsia"/>
                <w:kern w:val="0"/>
                <w:sz w:val="20"/>
                <w:szCs w:val="20"/>
              </w:rPr>
              <w:b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left"/>
              <w:rPr>
                <w:rFonts w:ascii="宋体" w:eastAsia="宋体" w:hAnsi="宋体" w:cs="宋体"/>
                <w:kern w:val="0"/>
                <w:sz w:val="24"/>
                <w:szCs w:val="24"/>
              </w:rPr>
            </w:pPr>
            <w:r w:rsidRPr="009D40B0">
              <w:rPr>
                <w:rFonts w:ascii="宋体" w:eastAsia="宋体" w:hAnsi="宋体" w:cs="宋体" w:hint="eastAsia"/>
                <w:kern w:val="0"/>
                <w:sz w:val="20"/>
                <w:szCs w:val="20"/>
              </w:rPr>
              <w:t>工程咨询服务</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1.允许符合条件的外籍人员在试点地区执业提供工程咨询服务（法律法规有资格要求的除外）。</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 xml:space="preserve">　　2.对外资工程设计（不包括工程勘察）企业，取消首次申请资质时对工程设计业绩要求。</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中国加入世界贸易组织议定书-附件</w:t>
            </w:r>
            <w:r w:rsidRPr="009D40B0">
              <w:rPr>
                <w:rFonts w:ascii="Calibri" w:eastAsia="宋体" w:hAnsi="Calibri" w:cs="宋体" w:hint="eastAsia"/>
                <w:kern w:val="0"/>
                <w:sz w:val="20"/>
                <w:szCs w:val="20"/>
              </w:rPr>
              <w:t>9</w:t>
            </w:r>
            <w:r w:rsidRPr="009D40B0">
              <w:rPr>
                <w:rFonts w:ascii="宋体" w:eastAsia="宋体" w:hAnsi="宋体" w:cs="宋体" w:hint="eastAsia"/>
                <w:kern w:val="0"/>
                <w:sz w:val="20"/>
                <w:szCs w:val="20"/>
              </w:rPr>
              <w:t>：《中华人民共和国服务贸易具体承诺减让表》对建筑设计服务（</w:t>
            </w:r>
            <w:r w:rsidRPr="009D40B0">
              <w:rPr>
                <w:rFonts w:ascii="Calibri" w:eastAsia="宋体" w:hAnsi="Calibri" w:cs="宋体" w:hint="eastAsia"/>
                <w:kern w:val="0"/>
                <w:sz w:val="20"/>
                <w:szCs w:val="20"/>
              </w:rPr>
              <w:t>CPC8671</w:t>
            </w:r>
            <w:r w:rsidRPr="009D40B0">
              <w:rPr>
                <w:rFonts w:ascii="宋体" w:eastAsia="宋体" w:hAnsi="宋体" w:cs="宋体" w:hint="eastAsia"/>
                <w:kern w:val="0"/>
                <w:sz w:val="20"/>
                <w:szCs w:val="20"/>
              </w:rPr>
              <w:t>）、工程服务（</w:t>
            </w:r>
            <w:r w:rsidRPr="009D40B0">
              <w:rPr>
                <w:rFonts w:ascii="Calibri" w:eastAsia="宋体" w:hAnsi="Calibri" w:cs="宋体" w:hint="eastAsia"/>
                <w:kern w:val="0"/>
                <w:sz w:val="20"/>
                <w:szCs w:val="20"/>
              </w:rPr>
              <w:t>CPC8672</w:t>
            </w:r>
            <w:r w:rsidRPr="009D40B0">
              <w:rPr>
                <w:rFonts w:ascii="宋体" w:eastAsia="宋体" w:hAnsi="宋体" w:cs="宋体" w:hint="eastAsia"/>
                <w:kern w:val="0"/>
                <w:sz w:val="20"/>
                <w:szCs w:val="20"/>
              </w:rPr>
              <w:t>）在跨境交付项下市场准入限制为“要求与中国专业机构进行合作，方案设计除外”。（其中，工程服务</w:t>
            </w:r>
            <w:r w:rsidRPr="009D40B0">
              <w:rPr>
                <w:rFonts w:ascii="Calibri" w:eastAsia="宋体" w:hAnsi="Calibri" w:cs="宋体" w:hint="eastAsia"/>
                <w:kern w:val="0"/>
                <w:sz w:val="20"/>
                <w:szCs w:val="20"/>
              </w:rPr>
              <w:t>（</w:t>
            </w:r>
            <w:r w:rsidRPr="009D40B0">
              <w:rPr>
                <w:rFonts w:ascii="Calibri" w:eastAsia="宋体" w:hAnsi="Calibri" w:cs="宋体" w:hint="eastAsia"/>
                <w:kern w:val="0"/>
                <w:sz w:val="20"/>
                <w:szCs w:val="20"/>
              </w:rPr>
              <w:t>CPC8672</w:t>
            </w:r>
            <w:r w:rsidRPr="009D40B0">
              <w:rPr>
                <w:rFonts w:ascii="Calibri" w:eastAsia="宋体" w:hAnsi="Calibri" w:cs="宋体" w:hint="eastAsia"/>
                <w:kern w:val="0"/>
                <w:sz w:val="20"/>
                <w:szCs w:val="20"/>
              </w:rPr>
              <w:t>）</w:t>
            </w:r>
            <w:r w:rsidRPr="009D40B0">
              <w:rPr>
                <w:rFonts w:ascii="宋体" w:eastAsia="宋体" w:hAnsi="宋体" w:cs="宋体" w:hint="eastAsia"/>
                <w:kern w:val="0"/>
                <w:sz w:val="20"/>
                <w:szCs w:val="20"/>
              </w:rPr>
              <w:t>项下包括工程咨询服务）</w:t>
            </w:r>
            <w:r w:rsidRPr="009D40B0">
              <w:rPr>
                <w:rFonts w:ascii="宋体" w:eastAsia="宋体" w:hAnsi="宋体" w:cs="宋体" w:hint="eastAsia"/>
                <w:kern w:val="0"/>
                <w:sz w:val="20"/>
                <w:szCs w:val="20"/>
              </w:rPr>
              <w:br/>
            </w:r>
            <w:r w:rsidRPr="009D40B0">
              <w:rPr>
                <w:rFonts w:ascii="宋体" w:eastAsia="宋体" w:hAnsi="宋体" w:cs="宋体"/>
                <w:kern w:val="0"/>
                <w:sz w:val="20"/>
                <w:szCs w:val="20"/>
              </w:rPr>
              <w:t xml:space="preserve">　　《建设工程勘察设计管理条例》第八条规定，建设工程勘察、设计单位应当在其资质等级许可的范围内承揽建设工程勘察、设计业务。第九条规定，国家对从事建设工程勘察、设计活动的专业技术人员，实行执业资格注册管理制度。</w:t>
            </w:r>
            <w:r w:rsidRPr="009D40B0">
              <w:rPr>
                <w:rFonts w:ascii="宋体" w:eastAsia="宋体" w:hAnsi="宋体" w:cs="宋体"/>
                <w:kern w:val="0"/>
                <w:sz w:val="20"/>
                <w:szCs w:val="20"/>
              </w:rPr>
              <w:br/>
              <w:t xml:space="preserve">　　《外商投资建设工程设计企业管理规定实施细则》第二条规定，外商投资建设工程设计企业，首次申请工程设计资质，其外国服务提供者（外国投资方）应提供两项及以上中国境外完成的工程设计业绩，其中至少一项工程设计业绩是在其所在国或地区完成的。</w:t>
            </w:r>
          </w:p>
        </w:tc>
      </w:tr>
      <w:tr w:rsidR="009D40B0" w:rsidRPr="009D40B0" w:rsidTr="009D40B0">
        <w:trPr>
          <w:jc w:val="center"/>
        </w:trPr>
        <w:tc>
          <w:tcPr>
            <w:tcW w:w="0" w:type="auto"/>
            <w:vMerge/>
            <w:tcBorders>
              <w:top w:val="nil"/>
              <w:left w:val="single" w:sz="8" w:space="0" w:color="auto"/>
              <w:bottom w:val="single" w:sz="8" w:space="0" w:color="auto"/>
              <w:right w:val="single" w:sz="8" w:space="0" w:color="auto"/>
            </w:tcBorders>
            <w:vAlign w:val="center"/>
            <w:hideMark/>
          </w:tcPr>
          <w:p w:rsidR="009D40B0" w:rsidRPr="009D40B0" w:rsidRDefault="009D40B0" w:rsidP="009D40B0">
            <w:pPr>
              <w:widowControl/>
              <w:jc w:val="left"/>
              <w:rPr>
                <w:rFonts w:ascii="宋体" w:eastAsia="宋体" w:hAnsi="宋体" w:cs="宋体"/>
                <w:kern w:val="0"/>
                <w:sz w:val="24"/>
                <w:szCs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jc w:val="left"/>
              <w:rPr>
                <w:rFonts w:ascii="宋体" w:eastAsia="宋体" w:hAnsi="宋体" w:cs="宋体"/>
                <w:kern w:val="0"/>
                <w:sz w:val="24"/>
                <w:szCs w:val="24"/>
              </w:rPr>
            </w:pPr>
            <w:r w:rsidRPr="009D40B0">
              <w:rPr>
                <w:rFonts w:ascii="宋体" w:eastAsia="宋体" w:hAnsi="宋体" w:cs="宋体" w:hint="eastAsia"/>
                <w:kern w:val="0"/>
                <w:sz w:val="20"/>
                <w:szCs w:val="20"/>
              </w:rPr>
              <w:t>法律服务</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探索密切内地（大陆）律师事务所与港澳台地区律师事务所业务合作的方式与机制。</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40B0" w:rsidRPr="009D40B0" w:rsidRDefault="009D40B0" w:rsidP="009D40B0">
            <w:pPr>
              <w:widowControl/>
              <w:rPr>
                <w:rFonts w:ascii="宋体" w:eastAsia="宋体" w:hAnsi="宋体" w:cs="宋体"/>
                <w:kern w:val="0"/>
                <w:sz w:val="24"/>
                <w:szCs w:val="24"/>
              </w:rPr>
            </w:pPr>
            <w:r w:rsidRPr="009D40B0">
              <w:rPr>
                <w:rFonts w:ascii="宋体" w:eastAsia="宋体" w:hAnsi="宋体" w:cs="宋体" w:hint="eastAsia"/>
                <w:kern w:val="0"/>
                <w:sz w:val="20"/>
                <w:szCs w:val="20"/>
              </w:rPr>
              <w:t xml:space="preserve">　　《外商投资产业指导目录（</w:t>
            </w:r>
            <w:r w:rsidRPr="009D40B0">
              <w:rPr>
                <w:rFonts w:ascii="Calibri" w:eastAsia="宋体" w:hAnsi="Calibri" w:cs="宋体" w:hint="eastAsia"/>
                <w:kern w:val="0"/>
                <w:sz w:val="20"/>
                <w:szCs w:val="20"/>
              </w:rPr>
              <w:t>2017</w:t>
            </w:r>
            <w:r w:rsidRPr="009D40B0">
              <w:rPr>
                <w:rFonts w:ascii="宋体" w:eastAsia="宋体" w:hAnsi="宋体" w:cs="宋体" w:hint="eastAsia"/>
                <w:kern w:val="0"/>
                <w:sz w:val="20"/>
                <w:szCs w:val="20"/>
              </w:rPr>
              <w:t>年修订）》禁止外商投资中国法律事务咨询（提供有关中国法律环境影响的信息除外）。</w:t>
            </w:r>
          </w:p>
        </w:tc>
      </w:tr>
    </w:tbl>
    <w:p w:rsidR="009D40B0" w:rsidRPr="009D40B0" w:rsidRDefault="009D40B0" w:rsidP="009D40B0">
      <w:pPr>
        <w:widowControl/>
        <w:jc w:val="left"/>
        <w:rPr>
          <w:rFonts w:ascii="宋体" w:eastAsia="宋体" w:hAnsi="宋体" w:cs="宋体" w:hint="eastAsia"/>
          <w:kern w:val="0"/>
          <w:sz w:val="24"/>
          <w:szCs w:val="24"/>
        </w:rPr>
      </w:pPr>
      <w:r w:rsidRPr="009D40B0">
        <w:rPr>
          <w:rFonts w:ascii="宋体" w:eastAsia="宋体" w:hAnsi="宋体" w:cs="宋体" w:hint="eastAsia"/>
          <w:color w:val="333333"/>
          <w:kern w:val="0"/>
          <w:sz w:val="24"/>
          <w:szCs w:val="24"/>
        </w:rPr>
        <w:br/>
      </w:r>
    </w:p>
    <w:p w:rsidR="006759CD" w:rsidRPr="009D40B0" w:rsidRDefault="003C7AD6"/>
    <w:sectPr w:rsidR="006759CD" w:rsidRPr="009D40B0" w:rsidSect="007F7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D6" w:rsidRDefault="003C7AD6" w:rsidP="00982A5F">
      <w:r>
        <w:separator/>
      </w:r>
    </w:p>
  </w:endnote>
  <w:endnote w:type="continuationSeparator" w:id="0">
    <w:p w:rsidR="003C7AD6" w:rsidRDefault="003C7AD6" w:rsidP="00982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D6" w:rsidRDefault="003C7AD6" w:rsidP="00982A5F">
      <w:r>
        <w:separator/>
      </w:r>
    </w:p>
  </w:footnote>
  <w:footnote w:type="continuationSeparator" w:id="0">
    <w:p w:rsidR="003C7AD6" w:rsidRDefault="003C7AD6" w:rsidP="00982A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A5F"/>
    <w:rsid w:val="001A0E8A"/>
    <w:rsid w:val="003C7AD6"/>
    <w:rsid w:val="007F7907"/>
    <w:rsid w:val="009334E8"/>
    <w:rsid w:val="00982A5F"/>
    <w:rsid w:val="009D40B0"/>
    <w:rsid w:val="00DB43BD"/>
    <w:rsid w:val="00F63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2A5F"/>
    <w:rPr>
      <w:sz w:val="18"/>
      <w:szCs w:val="18"/>
    </w:rPr>
  </w:style>
  <w:style w:type="paragraph" w:styleId="a4">
    <w:name w:val="footer"/>
    <w:basedOn w:val="a"/>
    <w:link w:val="Char0"/>
    <w:uiPriority w:val="99"/>
    <w:semiHidden/>
    <w:unhideWhenUsed/>
    <w:rsid w:val="00982A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2A5F"/>
    <w:rPr>
      <w:sz w:val="18"/>
      <w:szCs w:val="18"/>
    </w:rPr>
  </w:style>
  <w:style w:type="paragraph" w:styleId="a5">
    <w:name w:val="Normal (Web)"/>
    <w:basedOn w:val="a"/>
    <w:uiPriority w:val="99"/>
    <w:semiHidden/>
    <w:unhideWhenUsed/>
    <w:rsid w:val="009D40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9379660">
      <w:bodyDiv w:val="1"/>
      <w:marLeft w:val="0"/>
      <w:marRight w:val="0"/>
      <w:marTop w:val="0"/>
      <w:marBottom w:val="0"/>
      <w:divBdr>
        <w:top w:val="none" w:sz="0" w:space="0" w:color="auto"/>
        <w:left w:val="none" w:sz="0" w:space="0" w:color="auto"/>
        <w:bottom w:val="none" w:sz="0" w:space="0" w:color="auto"/>
        <w:right w:val="none" w:sz="0" w:space="0" w:color="auto"/>
      </w:divBdr>
    </w:div>
    <w:div w:id="15266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2018-06-11T00:23:00Z</cp:lastPrinted>
  <dcterms:created xsi:type="dcterms:W3CDTF">2018-06-11T00:23:00Z</dcterms:created>
  <dcterms:modified xsi:type="dcterms:W3CDTF">2018-06-11T00:58:00Z</dcterms:modified>
</cp:coreProperties>
</file>